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13" w:rsidRPr="00C71A13" w:rsidRDefault="00C71A13" w:rsidP="00C71A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71A1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ФИНАНСЫ</w:t>
      </w:r>
    </w:p>
    <w:p w:rsidR="00C71A13" w:rsidRPr="00C71A13" w:rsidRDefault="00C71A13" w:rsidP="00C7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1A13" w:rsidRPr="00C71A13" w:rsidRDefault="00C71A13" w:rsidP="00C7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Установлены </w:t>
      </w:r>
      <w:hyperlink r:id="rId4" w:history="1">
        <w:r w:rsidRPr="00C71A13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особенности</w:t>
        </w:r>
      </w:hyperlink>
      <w:r w:rsidRPr="00C71A13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обязательств по кредитным договорам (договорам займа) лицами, призванными на военную службу по мобилизации, и лицами, принимающими участие в специальной военной операции, а также членами их семей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 xml:space="preserve">Заемщики, входящие в установленный </w:t>
      </w:r>
      <w:hyperlink r:id="rId5" w:history="1">
        <w:r w:rsidRPr="00C71A1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1A13">
        <w:rPr>
          <w:rFonts w:ascii="Times New Roman" w:hAnsi="Times New Roman" w:cs="Times New Roman"/>
          <w:sz w:val="24"/>
          <w:szCs w:val="24"/>
        </w:rPr>
        <w:t xml:space="preserve">,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в установленном </w:t>
      </w:r>
      <w:hyperlink r:id="rId6" w:history="1">
        <w:r w:rsidRPr="00C71A13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71A13">
        <w:rPr>
          <w:rFonts w:ascii="Times New Roman" w:hAnsi="Times New Roman" w:cs="Times New Roman"/>
          <w:sz w:val="24"/>
          <w:szCs w:val="24"/>
        </w:rPr>
        <w:t>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 xml:space="preserve">При представлении требования военнослужащий вправе приложить документы, подтверждающие его участие в специальной военной операции. Кредитор вправе запросить информацию, подтверждающую соблюдение данного условия в Минобороны России, в органах управления войск национальной гвардии РФ, воинских формированиях, а также в иных </w:t>
      </w:r>
      <w:hyperlink r:id="rId7" w:history="1">
        <w:r w:rsidRPr="00C71A13">
          <w:rPr>
            <w:rFonts w:ascii="Times New Roman" w:hAnsi="Times New Roman" w:cs="Times New Roman"/>
            <w:color w:val="0000FF"/>
            <w:sz w:val="24"/>
            <w:szCs w:val="24"/>
          </w:rPr>
          <w:t>органах</w:t>
        </w:r>
      </w:hyperlink>
      <w:r w:rsidRPr="00C71A13">
        <w:rPr>
          <w:rFonts w:ascii="Times New Roman" w:hAnsi="Times New Roman" w:cs="Times New Roman"/>
          <w:sz w:val="24"/>
          <w:szCs w:val="24"/>
        </w:rPr>
        <w:t>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Заемщик вправе определить дату начала льготного периода, которая не может быть установлена ранее 21 сентября 2022 года. Если дату начала льготного периода в требовании не определена, ею считается дата направления требования заемщика кредитору.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В течение срока действия льготного периода на размер основного долга на день установления льготного периода (за исключением кредитного договора, обязательства по которому обеспечены ипотекой) начисляются проценты по ставке, равной 2/3 от рассчитанного и опубликованного Банком России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Кредитор, получивший требование заемщика, в срок, не превышающий 10 дней, обязан рассмотреть указанное требование и в случае соответствия требования установленным условиям обязан сообщить заемщику об изменении условий кредитного договора, направив ему уведомление. Также кредитор обязан направить заемщику уточненный график платежей по кредитному договору.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В случае гибели (смерти) военнослужащего при выполнении задач в период проведения специальной военной операции либо позднее,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обязательства военнослужащего по кредитному договору прекращаются.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Действие указанного положения распространяется на правоотношения, возникшие с 24 февраля 2022 года.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Неустойка (штраф, пени) за неисполнение или ненадлежащее исполнение обязательств в период с 24 февраля до 7 октября 2022 года по кредитному договору отдельных заемщиков не начисляется, а начисленная неустойка (штраф, пени) по кредитному договору не подлежит уплате.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 xml:space="preserve">Установлены </w:t>
      </w:r>
      <w:hyperlink r:id="rId8" w:history="1">
        <w:r w:rsidRPr="00C71A13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C71A13">
        <w:rPr>
          <w:rFonts w:ascii="Times New Roman" w:hAnsi="Times New Roman" w:cs="Times New Roman"/>
          <w:sz w:val="24"/>
          <w:szCs w:val="24"/>
        </w:rPr>
        <w:t xml:space="preserve"> приостановления исполнительного производства. Изменения внесены в ряд законов.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t>Кроме того, установлены особенности внесения изменений в решение о вы</w:t>
      </w:r>
      <w:bookmarkStart w:id="0" w:name="_GoBack"/>
      <w:bookmarkEnd w:id="0"/>
      <w:r w:rsidRPr="00C71A13">
        <w:rPr>
          <w:rFonts w:ascii="Times New Roman" w:hAnsi="Times New Roman" w:cs="Times New Roman"/>
          <w:sz w:val="24"/>
          <w:szCs w:val="24"/>
        </w:rPr>
        <w:t>пуске облигаций с ипотечным покрытием.</w:t>
      </w:r>
    </w:p>
    <w:p w:rsidR="00C71A13" w:rsidRPr="00C71A13" w:rsidRDefault="00C71A13" w:rsidP="00C71A13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71A13">
        <w:rPr>
          <w:rFonts w:ascii="Times New Roman" w:hAnsi="Times New Roman" w:cs="Times New Roman"/>
          <w:sz w:val="24"/>
          <w:szCs w:val="24"/>
        </w:rPr>
        <w:lastRenderedPageBreak/>
        <w:t xml:space="preserve">(Федеральный </w:t>
      </w:r>
      <w:hyperlink r:id="rId9" w:history="1">
        <w:r w:rsidRPr="00C71A1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C71A13">
        <w:rPr>
          <w:rFonts w:ascii="Times New Roman" w:hAnsi="Times New Roman" w:cs="Times New Roman"/>
          <w:sz w:val="24"/>
          <w:szCs w:val="24"/>
        </w:rPr>
        <w:t xml:space="preserve"> от 07.10.2022 N 377-ФЗ)</w:t>
      </w:r>
    </w:p>
    <w:p w:rsidR="00B40440" w:rsidRPr="00C71A13" w:rsidRDefault="00B40440">
      <w:pPr>
        <w:rPr>
          <w:rFonts w:ascii="Times New Roman" w:hAnsi="Times New Roman" w:cs="Times New Roman"/>
          <w:sz w:val="24"/>
          <w:szCs w:val="24"/>
        </w:rPr>
      </w:pPr>
    </w:p>
    <w:sectPr w:rsidR="00B40440" w:rsidRPr="00C71A13" w:rsidSect="00DF6E7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6C"/>
    <w:rsid w:val="008C486C"/>
    <w:rsid w:val="00B40440"/>
    <w:rsid w:val="00C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14E2-7A0C-4CAF-8AA1-0E5DC35A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3586950F5FC823C131C9CC8040D1FF48593D709AD7E651DB4C723037C2837F99972DD0C6CB2F259FD444ED459A2DAF1A3C6E512D5C733DDj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3586950F5FC823C131C9CC8040D1FF4859ADC0FAF7E651DB4C723037C2837F99972DD0C6CB1F258FD444ED459A2DAF1A3C6E512D5C733DDj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3586950F5FC823C131C9CC8040D1FF48593D709AD7E651DB4C723037C2837F99972DD0C6CB2F055FD444ED459A2DAF1A3C6E512D5C733DDj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53586950F5FC823C131C9CC8040D1FF48593D709AD7E651DB4C723037C2837F99972DD0C6CB2F158FD444ED459A2DAF1A3C6E512D5C733DDj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253586950F5FC823C131C9CC8040D1FF48593D709AD7E651DB4C723037C2837F99972DD0C6CB2F154FD444ED459A2DAF1A3C6E512D5C733DDj7F" TargetMode="External"/><Relationship Id="rId9" Type="http://schemas.openxmlformats.org/officeDocument/2006/relationships/hyperlink" Target="consultantplus://offline/ref=7253586950F5FC823C131C9CC8040D1FF48593D709AD7E651DB4C723037C2837EB992AD10D6CACF051E8121F92D0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2022-10-10T05:35:00Z</dcterms:created>
  <dcterms:modified xsi:type="dcterms:W3CDTF">2022-10-10T05:36:00Z</dcterms:modified>
</cp:coreProperties>
</file>